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c6099dab191d417c" /></Relationships>
</file>

<file path=word/document.xml><?xml version="1.0" encoding="utf-8"?>
<w:document xmlns:w="http://schemas.openxmlformats.org/wordprocessingml/2006/main">
  <w:body>
    <w:tbl>
      <w:tblPr>
        <w:tblW w:w="9000" w:type="dxa"/>
        <w:tblBorders>
          <w:top w:val="nil"/>
          <w:bottom w:val="nil"/>
          <w:left w:val="nil"/>
          <w:right w:val="nil"/>
          <w:insideH w:val="nil"/>
          <w:insideV w:val="nil"/>
        </w:tblBorders>
        <w:tblCellSpacing w:w="60" w:type="dxa"/>
        <w:shd w:val="clear" w:color="auto" w:fill="E7F0F9"/>
      </w:tblPr>
      <w:tblGrid>
        <w:gridCol w:w="1200"/>
        <w:gridCol w:w="4500"/>
      </w:tblGrid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RKP broj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36854</w:t>
            </w:r>
          </w:p>
        </w:tc>
      </w:tr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Naziv obveznika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OPĆINA GORNJI BOGIĆEVCI</w:t>
            </w:r>
          </w:p>
        </w:tc>
      </w:tr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Razina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23</w:t>
            </w:r>
          </w:p>
        </w:tc>
      </w:tr>
    </w:tbl>
    <w:p>
      <w:r>
        <w:br/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>BILJEŠKE UZ FINANCIJSKE IZVJEŠTAJE</w:t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>ZA RAZDOBLJE</w:t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>I - VI 2025.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>Izvještaj o prihodima i rashodima, primicima i izdacima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>Bilješka 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0" w:type="auto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POSLOVANJA (šifre 61+62+63+64+65+66+67+68)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406.506,08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509.174,63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125,3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POSLOVANJA (šifre 31+32+34+35+36+37+38)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310.742,00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400.283,19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128,8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 PRIHODA POSLOVANJA (šifre 6-Z005)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95.764,08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108.891,44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113,7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od prodaje nefinancijske imovine (šifre 71+72+73+74)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20.208,00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2.100,00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10,4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za nabavu nefinancijske imovine (šifre 41+42+43+44+45)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69.818,59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55.705,61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79,8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MANJAK PRIHODA OD NEFINANCIJSKE IMOVINE (šifre 4-7)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Y002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49.610,59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53.605,61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108,1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Primici od financijske imovine i zaduživanja (šifre 81+82+83+84+85)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Izdaci za financijsku imovinu i otplate zajmova (šifre 51+52+53+54+55)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14.916,48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VIŠAK/MANJAK PRIMITAKA OD FINANCIJSKE IMOVINE I ZADUŽIVANJA (šifre 8-5, 5-8)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X003, Y003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14.916,48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 PRIHODA I PRIMITAKA (šifre X678-Y345)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31.237,01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55.285,83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177,0</w:t>
            </w:r>
          </w:p>
        </w:tc>
      </w:tr>
    </w:tbl>
    <w:p>
      <w:pPr>
        <w:spacing w:before="0" w:after="0"/>
      </w:pPr>
    </w:p>
    <w:p>
      <w:pPr>
        <w:jc w:val="both"/>
        <w:pStyle w:val="Normal"/>
        <w:spacing w:line="240" w:lineRule="auto"/>
      </w:pPr>
      <w:r>
        <w:rPr>
          <w:sz w:val="24"/>
          <w:rFonts w:ascii="Times New Roman" w:hAnsi="Times New Roman"/>
        </w:rPr>
        <w:t>Financijsko izvješće za izvještajno razdoblje sadrži pregled ostvarenih prihoda i rashoda, primitka i izdataka te utvrđivanje viška i manjka sredstava. Na temelju navedenih podacima ostvaren je višak prihoda poslovanja u iznosu 108.891,44€ , dok je iskazan manjak prihoda od nefinancijske imovine u iznosu 53.605,61. Nakon konsolidacije svih stavki, ukupni višak prihoda i primitaka iznosi 55.285,83€.</w:t>
      </w:r>
    </w:p>
    <w:p>
      <w:r>
        <w:br/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>Bilješka 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6361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Tekuće pomoći proračunskim korisnicima iz proračuna koji im nije nadležan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6361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240,00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480,00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200</w:t>
            </w:r>
          </w:p>
        </w:tc>
      </w:tr>
    </w:tbl>
    <w:p>
      <w:pPr>
        <w:spacing w:before="0" w:after="0"/>
      </w:pPr>
    </w:p>
    <w:p>
      <w:pPr>
        <w:jc w:val="both"/>
        <w:pStyle w:val="Normal"/>
        <w:spacing w:line="240" w:lineRule="auto"/>
      </w:pPr>
      <w:r>
        <w:rPr>
          <w:sz w:val="24"/>
          <w:rFonts w:ascii="Times New Roman" w:hAnsi="Times New Roman"/>
        </w:rPr>
        <w:t>Uplata tekuće pomoći Državnog proračuna za promocije knjiga i književnih susreta.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>Bilješka 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6362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Kapitalne pomoći proračunskim korisnicima iz proračuna koji im nije nadležan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6362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3.325,00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5.725,00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172,2</w:t>
            </w:r>
          </w:p>
        </w:tc>
      </w:tr>
    </w:tbl>
    <w:p>
      <w:pPr>
        <w:spacing w:before="0" w:after="0"/>
      </w:pPr>
    </w:p>
    <w:p>
      <w:pPr>
        <w:jc w:val="both"/>
        <w:pStyle w:val="Normal"/>
        <w:spacing w:line="240" w:lineRule="auto"/>
      </w:pPr>
      <w:r>
        <w:rPr>
          <w:sz w:val="24"/>
          <w:rFonts w:ascii="Times New Roman" w:hAnsi="Times New Roman"/>
        </w:rPr>
        <w:t>
Kapitalne pomoći se odnose  na pomoć Ministarstva kulture za knjižnu i ne knjižnu građu.
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>Bilješka 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6422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od zakupa i iznajmljivanja imovine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6422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29.366,95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29.805,59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101,5</w:t>
            </w:r>
          </w:p>
        </w:tc>
      </w:tr>
    </w:tbl>
    <w:p>
      <w:pPr>
        <w:spacing w:before="0" w:after="0"/>
      </w:pPr>
    </w:p>
    <w:p>
      <w:pPr>
        <w:jc w:val="both"/>
        <w:pStyle w:val="Normal"/>
        <w:spacing w:line="240" w:lineRule="auto"/>
      </w:pPr>
      <w:r>
        <w:rPr>
          <w:sz w:val="24"/>
          <w:rFonts w:ascii="Times New Roman" w:hAnsi="Times New Roman"/>
        </w:rPr>
        <w:t>Odnosi se na zakup poslovnih prostora, iznajmljivanja hladnjače, najam inventara.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>Bilješka 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od upravnih i administrativnih pristojbi, pristojbi po posebnim propisima i naknada (šifre 651+652+653+654)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47.672,50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69.104,01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145,0</w:t>
            </w:r>
          </w:p>
        </w:tc>
      </w:tr>
    </w:tbl>
    <w:p>
      <w:pPr>
        <w:spacing w:before="0" w:after="0"/>
      </w:pPr>
    </w:p>
    <w:p>
      <w:pPr>
        <w:jc w:val="both"/>
        <w:pStyle w:val="Normal"/>
        <w:spacing w:line="240" w:lineRule="auto"/>
      </w:pPr>
      <w:r>
        <w:rPr>
          <w:sz w:val="24"/>
          <w:rFonts w:ascii="Times New Roman" w:hAnsi="Times New Roman"/>
        </w:rPr>
        <w:t>Iznos se odnosi na naknade za grobarine, takse za izvođenje radova te otkup grobnih mjesta te članarinu u knjižnici i plaćanja zakasnine.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>Bilješka 6.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6524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Doprinosi za šume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6524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342,94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3.956,30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1153,6</w:t>
            </w:r>
          </w:p>
        </w:tc>
      </w:tr>
    </w:tbl>
    <w:p>
      <w:pPr>
        <w:spacing w:before="0" w:after="0"/>
      </w:pPr>
    </w:p>
    <w:p>
      <w:pPr>
        <w:jc w:val="both"/>
        <w:pStyle w:val="Normal"/>
        <w:spacing w:line="240" w:lineRule="auto"/>
      </w:pPr>
      <w:r>
        <w:rPr>
          <w:sz w:val="24"/>
          <w:rFonts w:ascii="Times New Roman" w:hAnsi="Times New Roman"/>
        </w:rPr>
        <w:t>Prihodi su koji nam Zakonom pripadaju u određenom postotku za prihode koje naplate druge pravne osobe – Hrvatske šume - doprinos za šume 3.956,30€.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>Bilješka 7.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6526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Ostali nespomenuti prihodi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6526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5.776,66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25.022,33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433,2</w:t>
            </w:r>
          </w:p>
        </w:tc>
      </w:tr>
    </w:tbl>
    <w:p>
      <w:pPr>
        <w:spacing w:before="0" w:after="0"/>
      </w:pPr>
    </w:p>
    <w:p>
      <w:pPr>
        <w:jc w:val="both"/>
        <w:pStyle w:val="Normal"/>
        <w:spacing w:line="240" w:lineRule="auto"/>
      </w:pPr>
      <w:r>
        <w:rPr>
          <w:sz w:val="24"/>
          <w:rFonts w:ascii="Times New Roman" w:hAnsi="Times New Roman"/>
        </w:rPr>
        <w:t>Ostali nespomenuti prihodi koji se odnose na vođenje računovodstva knjižnice i rješenju po ostavinskoj raspravi u iznosu 24.717,75 eura.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>Bilješka 8.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6532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Komunalne naknade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6532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29.663,37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30.171,20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101,7</w:t>
            </w:r>
          </w:p>
        </w:tc>
      </w:tr>
    </w:tbl>
    <w:p>
      <w:pPr>
        <w:spacing w:before="0" w:after="0"/>
      </w:pPr>
    </w:p>
    <w:p>
      <w:pPr>
        <w:jc w:val="both"/>
        <w:pStyle w:val="Normal"/>
        <w:spacing w:line="240" w:lineRule="auto"/>
      </w:pPr>
      <w:r>
        <w:rPr>
          <w:sz w:val="24"/>
          <w:rFonts w:ascii="Times New Roman" w:hAnsi="Times New Roman"/>
        </w:rPr>
        <w:t>Komunalne naknade odnosi se na komunalnu naknadu koju plaćaju vlasnici stambenih i poslovnih prostora.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>Bilješka 9.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za zaposlene (šifre 311+312+313)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80.341,49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120.896,97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150,5</w:t>
            </w:r>
          </w:p>
        </w:tc>
      </w:tr>
    </w:tbl>
    <w:p>
      <w:pPr>
        <w:spacing w:before="0" w:after="0"/>
      </w:pPr>
    </w:p>
    <w:p>
      <w:pPr>
        <w:jc w:val="both"/>
        <w:pStyle w:val="Normal"/>
        <w:spacing w:line="240" w:lineRule="auto"/>
      </w:pPr>
      <w:r>
        <w:rPr>
          <w:sz w:val="24"/>
          <w:rFonts w:ascii="Times New Roman" w:hAnsi="Times New Roman"/>
        </w:rPr>
        <w:t>Povećan iznos s obzirom na prošlu godinu se odnosi na troškove za zaposlene zbog povećanja iznosa plaće i ostalih rashoda za zaposlene.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>Bilješka 10.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Ostali rashodi za zaposlene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8.477,76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10.600,00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125,0</w:t>
            </w:r>
          </w:p>
        </w:tc>
      </w:tr>
    </w:tbl>
    <w:p>
      <w:pPr>
        <w:spacing w:before="0" w:after="0"/>
      </w:pPr>
    </w:p>
    <w:p>
      <w:pPr>
        <w:jc w:val="both"/>
        <w:pStyle w:val="Normal"/>
        <w:spacing w:line="240" w:lineRule="auto"/>
      </w:pPr>
      <w:r>
        <w:rPr>
          <w:sz w:val="24"/>
          <w:rFonts w:ascii="Times New Roman" w:hAnsi="Times New Roman"/>
        </w:rPr>
        <w:t>Ostali rashodi za zaposlene iznose 10.600,00 eura i označavaju povećanje u odnosu na isto razdoblje prošle godine zbog otvaranja zakonske mogućnosti – povećanje neoporezivih isplata zaposlenicima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>Bilješka 11.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Pristojbe i naknade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1.798,93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2.515,04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139,8</w:t>
            </w:r>
          </w:p>
        </w:tc>
      </w:tr>
    </w:tbl>
    <w:p>
      <w:pPr>
        <w:spacing w:before="0" w:after="0"/>
      </w:pPr>
    </w:p>
    <w:p>
      <w:pPr>
        <w:jc w:val="both"/>
        <w:pStyle w:val="Normal"/>
        <w:spacing w:line="240" w:lineRule="auto"/>
      </w:pPr>
      <w:r>
        <w:rPr>
          <w:sz w:val="24"/>
          <w:rFonts w:ascii="Times New Roman" w:hAnsi="Times New Roman"/>
        </w:rPr>
        <w:t>Rashod za pristojbe i naknade iznosi 2.515,04 eura te se odnosi na sudske pristojbe, javnobilježničke naknade te HRT pristojbe.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>Bilješka 12.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3631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Tekuće pomoći drugom proračunu i izvanproračunskim korisnicima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3631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2.551,20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3.057,89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119,9</w:t>
            </w:r>
          </w:p>
        </w:tc>
      </w:tr>
    </w:tbl>
    <w:p>
      <w:pPr>
        <w:spacing w:before="0" w:after="0"/>
      </w:pPr>
    </w:p>
    <w:p>
      <w:pPr>
        <w:jc w:val="both"/>
        <w:pStyle w:val="Normal"/>
        <w:spacing w:line="240" w:lineRule="auto"/>
      </w:pPr>
      <w:r>
        <w:rPr>
          <w:sz w:val="24"/>
          <w:rFonts w:ascii="Times New Roman" w:hAnsi="Times New Roman"/>
        </w:rPr>
        <w:t>Povećanje  zbog sufinanciranja troškova plaće i ostalih troškova  komunalnog redara koji radi na području 4 općine.
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>Bilješka 13.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3661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Tekuće pomoći proračunskim korisnicima drugih proračuna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3661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8.795,77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11.793,64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134,1</w:t>
            </w:r>
          </w:p>
        </w:tc>
      </w:tr>
    </w:tbl>
    <w:p>
      <w:pPr>
        <w:spacing w:before="0" w:after="0"/>
      </w:pPr>
    </w:p>
    <w:p>
      <w:pPr>
        <w:jc w:val="both"/>
        <w:pStyle w:val="Normal"/>
        <w:spacing w:line="240" w:lineRule="auto"/>
      </w:pPr>
      <w:r>
        <w:rPr>
          <w:sz w:val="24"/>
          <w:rFonts w:ascii="Times New Roman" w:hAnsi="Times New Roman"/>
        </w:rPr>
        <w:t>Odnosi se na sufinanciranje  plaća  teta u vrtiću koji pohađaju djeca sa područja  općine.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>Bilješka 14.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3861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Kapitalne pomoći kreditnim i ostalim financijskim institucijama te trgovačkim društvima u javnom sektoru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3861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19.792,41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101.555,13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513,1</w:t>
            </w:r>
          </w:p>
        </w:tc>
      </w:tr>
    </w:tbl>
    <w:p>
      <w:pPr>
        <w:spacing w:before="0" w:after="0"/>
      </w:pPr>
    </w:p>
    <w:p>
      <w:pPr>
        <w:jc w:val="both"/>
        <w:pStyle w:val="Normal"/>
        <w:spacing w:line="240" w:lineRule="auto"/>
      </w:pPr>
      <w:r>
        <w:rPr>
          <w:sz w:val="24"/>
          <w:rFonts w:ascii="Times New Roman" w:hAnsi="Times New Roman"/>
        </w:rPr>
        <w:t>kapitalne pomoći u iznosu 101.555,13€ obuhvaćaju pomoći VZS te isplate prema zahtjevima za radove na odvodnji.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>Izvještaj o obvezama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>Bilješka 15.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/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Stanje dospjelih obveza na kraju izvještajnog razdoblja (šifre V008+D23+D24 + 'D dio 25,26' + D27)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V007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20,66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pPr>
        <w:jc w:val="both"/>
        <w:pStyle w:val="Normal"/>
        <w:spacing w:line="240" w:lineRule="auto"/>
      </w:pPr>
      <w:r>
        <w:rPr>
          <w:sz w:val="24"/>
          <w:rFonts w:ascii="Times New Roman" w:hAnsi="Times New Roman"/>
        </w:rPr>
        <w:t>Zbog administrativnog previda, račun u iznosu 20,66€ nije plaćen u valuti dospijeća. Obveza je u međuvremenu podmirena.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>Bilješka 16.</w:t>
      </w:r>
    </w:p>
    <w:p>
      <w:pPr>
        <w:jc w:val="both"/>
        <w:pStyle w:val="Normal"/>
        <w:spacing w:line="240" w:lineRule="auto"/>
      </w:pPr>
      <w:r>
        <w:rPr>
          <w:b/>
          <w:sz w:val="24"/>
          <w:rFonts w:ascii="Times New Roman" w:hAnsi="Times New Roman"/>
        </w:rPr>
        <w:t>Unutargrupne transakcije koje su u izvještajima eliminirane</w:t>
      </w:r>
    </w:p>
    <w:p>
      <w:pPr>
        <w:jc w:val="both"/>
        <w:pStyle w:val="Normal"/>
        <w:spacing w:line="240" w:lineRule="auto"/>
      </w:pPr>
      <w:r>
        <w:rPr>
          <w:sz w:val="24"/>
          <w:rFonts w:ascii="Times New Roman" w:hAnsi="Times New Roman"/>
        </w:rPr>
        <w:t>Kod sastavljanja konsolidiranog financijskog izvještaja, sve unutar grupne transakcije između proračunskih korisnika uključujući prijenose sredstava, pomoći i povrate neiskorištenih sredstava, u potpunosti su eliminirane iz izvještaja kako bi se izbjeglo dvostruko prikazivanje prihoda i rashoda na razini konsolidacije. Izuzeti su iznosi na konta 36721 Općine i 67111 Narodne knjižnice i čitaonice Grigor Vitez, proračunskog korisnika.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>Bilješka 17.</w:t>
      </w:r>
    </w:p>
    <w:p>
      <w:pPr>
        <w:jc w:val="both"/>
        <w:pStyle w:val="Normal"/>
        <w:spacing w:line="240" w:lineRule="auto"/>
      </w:pPr>
      <w:r>
        <w:rPr>
          <w:b/>
          <w:sz w:val="24"/>
          <w:rFonts w:ascii="Times New Roman" w:hAnsi="Times New Roman"/>
        </w:rPr>
        <w:t>Manjak ili višak u poslovanju grupe i pregled strukture manjka/viška po proračunskim korisnicima </w:t>
      </w:r>
    </w:p>
    <w:p>
      <w:pPr>
        <w:jc w:val="both"/>
        <w:pStyle w:val="Normal"/>
        <w:spacing w:line="240" w:lineRule="auto"/>
      </w:pPr>
      <w:r>
        <w:rPr>
          <w:sz w:val="24"/>
          <w:rFonts w:ascii="Times New Roman" w:hAnsi="Times New Roman"/>
        </w:rPr>
        <w:t>Nakon provedenih eliminacija, ukupni rezultat poslovanja  je iskazan kroz višak prihoda i primitaka 55.285,83€.
Struktura po proračunskim korisnicima je: Višak prihoda i primitaka prema izvještaju Općine Gornji Bogićevci iznosi 55.480,88€, manjak prihoda i primitaka u iznosu 141,2 € je iskazan u izvještaju Narodne knjižnice i čitaonice Grigor Vitez. Naknadno je nakon predavanja izvještaja uočena mala razlika zbog duplog knjiženja nekih stavki, ne namjerno, administrativnom pogreškom koja će biti ispravljena u narednom financijskom izvještaju.</w:t>
      </w:r>
    </w:p>
    <w:p/>
  </w:body>
</w:document>
</file>

<file path=word/styles.xml><?xml version="1.0" encoding="utf-8"?>
<w:styles xmlns:w="http://schemas.openxmlformats.org/wordprocessingml/2006/main">
  <w:style w:type="paragraph" w:styleId="Normal" w:default="true">
    <w:name w:val="Normal"/>
    <w:rPr>
      <w:rFonts w:ascii="Times New Roman" w:hAnsi="Times New Roman"/>
      <w:sz w:val="24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39ac6d20890547d1" /></Relationships>
</file>